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D2" w:rsidRDefault="004B7CD2" w:rsidP="00521648">
      <w:pPr>
        <w:spacing w:after="0" w:line="240" w:lineRule="auto"/>
        <w:jc w:val="center"/>
        <w:outlineLvl w:val="0"/>
        <w:rPr>
          <w:rFonts w:ascii="Verdana" w:hAnsi="Verdana"/>
          <w:b/>
          <w:bCs/>
          <w:i/>
          <w:iCs/>
          <w:color w:val="FF7500"/>
          <w:kern w:val="36"/>
          <w:sz w:val="32"/>
          <w:szCs w:val="24"/>
          <w:lang w:eastAsia="ru-RU"/>
        </w:rPr>
      </w:pPr>
      <w:r w:rsidRPr="00521648">
        <w:rPr>
          <w:rFonts w:ascii="Verdana" w:hAnsi="Verdana"/>
          <w:b/>
          <w:bCs/>
          <w:i/>
          <w:iCs/>
          <w:color w:val="FF7500"/>
          <w:kern w:val="36"/>
          <w:sz w:val="32"/>
          <w:szCs w:val="24"/>
          <w:lang w:eastAsia="ru-RU"/>
        </w:rPr>
        <w:t>Общий курс</w:t>
      </w:r>
    </w:p>
    <w:p w:rsidR="004B7CD2" w:rsidRPr="00521648" w:rsidRDefault="004B7CD2" w:rsidP="00521648">
      <w:pPr>
        <w:spacing w:after="0" w:line="240" w:lineRule="auto"/>
        <w:jc w:val="center"/>
        <w:outlineLvl w:val="0"/>
        <w:rPr>
          <w:rFonts w:ascii="Verdana" w:hAnsi="Verdana"/>
          <w:b/>
          <w:bCs/>
          <w:i/>
          <w:iCs/>
          <w:color w:val="FF7500"/>
          <w:kern w:val="36"/>
          <w:sz w:val="32"/>
          <w:szCs w:val="24"/>
          <w:lang w:eastAsia="ru-RU"/>
        </w:rPr>
      </w:pPr>
      <w:r w:rsidRPr="00521648">
        <w:rPr>
          <w:rFonts w:ascii="Verdana" w:hAnsi="Verdana"/>
          <w:b/>
          <w:bCs/>
          <w:i/>
          <w:iCs/>
          <w:color w:val="FF7500"/>
          <w:kern w:val="36"/>
          <w:sz w:val="32"/>
          <w:szCs w:val="24"/>
          <w:lang w:eastAsia="ru-RU"/>
        </w:rPr>
        <w:t xml:space="preserve"> (программа подготовки по специальности «Промышленный альпинист»)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color w:val="3F484F"/>
          <w:sz w:val="24"/>
          <w:szCs w:val="17"/>
          <w:lang w:eastAsia="ru-RU"/>
        </w:rPr>
        <w:t> </w:t>
      </w:r>
    </w:p>
    <w:p w:rsidR="004B7CD2" w:rsidRDefault="004B7CD2" w:rsidP="00521648">
      <w:pPr>
        <w:spacing w:after="0" w:line="240" w:lineRule="auto"/>
        <w:jc w:val="center"/>
        <w:rPr>
          <w:rFonts w:ascii="Verdana" w:hAnsi="Verdana"/>
          <w:b/>
          <w:bCs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color w:val="3F484F"/>
          <w:sz w:val="24"/>
          <w:szCs w:val="17"/>
          <w:lang w:eastAsia="ru-RU"/>
        </w:rPr>
        <w:t> </w:t>
      </w:r>
      <w:r w:rsidRPr="00521648">
        <w:rPr>
          <w:rFonts w:ascii="Verdana" w:hAnsi="Verdana"/>
          <w:b/>
          <w:bCs/>
          <w:color w:val="3F484F"/>
          <w:sz w:val="24"/>
          <w:szCs w:val="17"/>
          <w:lang w:eastAsia="ru-RU"/>
        </w:rPr>
        <w:t>Задачи обучения</w:t>
      </w:r>
    </w:p>
    <w:p w:rsidR="004B7CD2" w:rsidRPr="00521648" w:rsidRDefault="004B7CD2" w:rsidP="00521648">
      <w:pPr>
        <w:spacing w:after="0" w:line="240" w:lineRule="auto"/>
        <w:jc w:val="center"/>
        <w:rPr>
          <w:rFonts w:ascii="Verdana" w:hAnsi="Verdana"/>
          <w:color w:val="3F484F"/>
          <w:sz w:val="24"/>
          <w:szCs w:val="17"/>
          <w:lang w:eastAsia="ru-RU"/>
        </w:rPr>
      </w:pP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b/>
          <w:bCs/>
          <w:color w:val="3F484F"/>
          <w:sz w:val="24"/>
          <w:szCs w:val="17"/>
          <w:lang w:eastAsia="ru-RU"/>
        </w:rPr>
        <w:t> </w:t>
      </w:r>
      <w:r w:rsidRPr="00521648">
        <w:rPr>
          <w:rFonts w:ascii="Verdana" w:hAnsi="Verdana"/>
          <w:color w:val="3F484F"/>
          <w:sz w:val="24"/>
          <w:szCs w:val="17"/>
          <w:lang w:eastAsia="ru-RU"/>
        </w:rPr>
        <w:t>Исполнитель высотных работ на промышленных и других объектах с применением альпинистской техники передвижения и страховки (промышленный альпинист)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b/>
          <w:bCs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b/>
          <w:bCs/>
          <w:color w:val="3F484F"/>
          <w:sz w:val="24"/>
          <w:szCs w:val="17"/>
          <w:lang w:eastAsia="ru-RU"/>
        </w:rPr>
        <w:t> 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b/>
          <w:bCs/>
          <w:color w:val="3F484F"/>
          <w:sz w:val="24"/>
          <w:szCs w:val="17"/>
          <w:lang w:eastAsia="ru-RU"/>
        </w:rPr>
        <w:t>Должен знать: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color w:val="3F484F"/>
          <w:sz w:val="24"/>
          <w:szCs w:val="17"/>
          <w:lang w:eastAsia="ru-RU"/>
        </w:rPr>
        <w:t>·        Теоретические основы страховки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color w:val="3F484F"/>
          <w:sz w:val="24"/>
          <w:szCs w:val="17"/>
          <w:lang w:eastAsia="ru-RU"/>
        </w:rPr>
        <w:t>·        Положения стандартов по безопасности труда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color w:val="3F484F"/>
          <w:sz w:val="24"/>
          <w:szCs w:val="17"/>
          <w:lang w:eastAsia="ru-RU"/>
        </w:rPr>
        <w:t>·        Характеристики снаряжения, применяемого для высотных работ методом промышленного альпинизма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color w:val="3F484F"/>
          <w:sz w:val="24"/>
          <w:szCs w:val="17"/>
          <w:lang w:eastAsia="ru-RU"/>
        </w:rPr>
        <w:t>·        Правила организации рабочей зоны при проведении высотных работ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color w:val="3F484F"/>
          <w:sz w:val="24"/>
          <w:szCs w:val="17"/>
          <w:lang w:eastAsia="ru-RU"/>
        </w:rPr>
        <w:t>·        Правила организации страховки работников при проведении высотных работ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color w:val="3F484F"/>
          <w:sz w:val="24"/>
          <w:szCs w:val="17"/>
          <w:lang w:eastAsia="ru-RU"/>
        </w:rPr>
        <w:t>·        Конструктивные и прочностные особенности элементов зданий, сооружений, конструкций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b/>
          <w:bCs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b/>
          <w:bCs/>
          <w:color w:val="3F484F"/>
          <w:sz w:val="24"/>
          <w:szCs w:val="17"/>
          <w:lang w:eastAsia="ru-RU"/>
        </w:rPr>
        <w:t> 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b/>
          <w:bCs/>
          <w:color w:val="3F484F"/>
          <w:sz w:val="24"/>
          <w:szCs w:val="17"/>
          <w:lang w:eastAsia="ru-RU"/>
        </w:rPr>
        <w:t>Должен уметь: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color w:val="3F484F"/>
          <w:sz w:val="24"/>
          <w:szCs w:val="17"/>
          <w:lang w:eastAsia="ru-RU"/>
        </w:rPr>
        <w:t>·        Применять специальное снаряжение для производства высотных работ методом промышленного альпинизма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color w:val="3F484F"/>
          <w:sz w:val="24"/>
          <w:szCs w:val="17"/>
          <w:lang w:eastAsia="ru-RU"/>
        </w:rPr>
        <w:t>·        Обеспечивать страховку работников, инструмента и материалов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color w:val="3F484F"/>
          <w:sz w:val="24"/>
          <w:szCs w:val="17"/>
          <w:lang w:eastAsia="ru-RU"/>
        </w:rPr>
        <w:t>·        Организовывать перемещение по высотным промышленным сооружениям и конструкциям с целью выполнения работ или оказания по мощи пострадавшим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color w:val="3F484F"/>
          <w:sz w:val="24"/>
          <w:szCs w:val="17"/>
          <w:lang w:eastAsia="ru-RU"/>
        </w:rPr>
        <w:t>·        Обеспечивать оказание помощи пострадавшим и их транспортировку (подъём или спуск) к месту дальнейшей эвакуации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color w:val="3F484F"/>
          <w:sz w:val="24"/>
          <w:szCs w:val="17"/>
          <w:lang w:eastAsia="ru-RU"/>
        </w:rPr>
        <w:t>·        Составлять проект выполнения работ и вести необходимую документацию.</w:t>
      </w:r>
    </w:p>
    <w:p w:rsidR="004B7CD2" w:rsidRPr="00521648" w:rsidRDefault="004B7CD2" w:rsidP="00AB4E43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b/>
          <w:bCs/>
          <w:color w:val="3F484F"/>
          <w:sz w:val="24"/>
          <w:szCs w:val="17"/>
          <w:lang w:eastAsia="ru-RU"/>
        </w:rPr>
        <w:t> </w:t>
      </w:r>
    </w:p>
    <w:p w:rsidR="004B7CD2" w:rsidRPr="00521648" w:rsidRDefault="004B7CD2" w:rsidP="00521648">
      <w:pPr>
        <w:spacing w:after="0" w:line="240" w:lineRule="auto"/>
        <w:jc w:val="center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b/>
          <w:bCs/>
          <w:color w:val="3F484F"/>
          <w:sz w:val="24"/>
          <w:szCs w:val="17"/>
          <w:u w:val="single"/>
          <w:lang w:eastAsia="ru-RU"/>
        </w:rPr>
        <w:t>«Организация рабочего места и безопасность труда»</w:t>
      </w:r>
    </w:p>
    <w:p w:rsidR="004B7CD2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color w:val="3F484F"/>
          <w:sz w:val="24"/>
          <w:szCs w:val="17"/>
          <w:lang w:eastAsia="ru-RU"/>
        </w:rPr>
        <w:t> Требования «Строительных норм и правил (СниП) и ГОСТ по безопасности труда. Опасные зоны при выполнении высотных работ. Организация верхней опасной зоны. Организация доставки работников и грузов к рабочему месту. Организация нижней опасной зоны. Условия допуска к выполнению работ. Дополнительные мероприятия по обеспечению безопасности.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color w:val="3F484F"/>
          <w:sz w:val="24"/>
          <w:szCs w:val="17"/>
          <w:lang w:eastAsia="ru-RU"/>
        </w:rPr>
        <w:t> </w:t>
      </w:r>
    </w:p>
    <w:p w:rsidR="004B7CD2" w:rsidRPr="00521648" w:rsidRDefault="004B7CD2" w:rsidP="00521648">
      <w:pPr>
        <w:spacing w:after="0" w:line="240" w:lineRule="auto"/>
        <w:jc w:val="center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b/>
          <w:bCs/>
          <w:color w:val="3F484F"/>
          <w:sz w:val="24"/>
          <w:szCs w:val="17"/>
          <w:u w:val="single"/>
          <w:lang w:eastAsia="ru-RU"/>
        </w:rPr>
        <w:t xml:space="preserve"> «Снаряжение для промышленного альпинизма»</w:t>
      </w:r>
    </w:p>
    <w:p w:rsidR="004B7CD2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color w:val="3F484F"/>
          <w:sz w:val="24"/>
          <w:szCs w:val="17"/>
          <w:lang w:eastAsia="ru-RU"/>
        </w:rPr>
        <w:t> Верёвки, стальные канаты, стропы, цепи. Люльки (седушки). Карабины. Индивидуальные страховочные системы (ИСС). Спусковые устройства. Зажимы для верёвки и троса. Лебёдки. Амортизаторы рывка. Спецодежда. Каски. Вспомогательные приспособления. Соединение верёвок и тросов. Особенности применения снаряжения.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b/>
          <w:bCs/>
          <w:color w:val="3F484F"/>
          <w:sz w:val="24"/>
          <w:szCs w:val="17"/>
          <w:lang w:eastAsia="ru-RU"/>
        </w:rPr>
        <w:t>Прочностные характеристики снаряжения и условия отбраковки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color w:val="3F484F"/>
          <w:sz w:val="24"/>
          <w:szCs w:val="17"/>
          <w:lang w:eastAsia="ru-RU"/>
        </w:rPr>
        <w:t>Прочностные характеристики снаряжения. Правила хранения. Условия отбраковки.</w:t>
      </w:r>
    </w:p>
    <w:p w:rsidR="004B7CD2" w:rsidRPr="00521648" w:rsidRDefault="004B7CD2" w:rsidP="00521648">
      <w:pPr>
        <w:spacing w:after="0" w:line="240" w:lineRule="auto"/>
        <w:jc w:val="center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color w:val="3F484F"/>
          <w:sz w:val="24"/>
          <w:szCs w:val="17"/>
          <w:lang w:eastAsia="ru-RU"/>
        </w:rPr>
        <w:t> </w:t>
      </w:r>
    </w:p>
    <w:p w:rsidR="004B7CD2" w:rsidRPr="00521648" w:rsidRDefault="004B7CD2" w:rsidP="00521648">
      <w:pPr>
        <w:spacing w:after="0" w:line="240" w:lineRule="auto"/>
        <w:jc w:val="center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b/>
          <w:bCs/>
          <w:color w:val="3F484F"/>
          <w:sz w:val="24"/>
          <w:szCs w:val="17"/>
          <w:u w:val="single"/>
          <w:lang w:eastAsia="ru-RU"/>
        </w:rPr>
        <w:t xml:space="preserve"> «Теоретические основы страховки»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color w:val="3F484F"/>
          <w:sz w:val="24"/>
          <w:szCs w:val="17"/>
          <w:lang w:eastAsia="ru-RU"/>
        </w:rPr>
        <w:t> Способы обеспечения безопасности работников. Групповая и индивидуальная страховка. Страхование впередиидущего. Динамическая страховка и способы гашения рывка при срыве работника.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</w:p>
    <w:p w:rsidR="004B7CD2" w:rsidRPr="00521648" w:rsidRDefault="004B7CD2" w:rsidP="00521648">
      <w:pPr>
        <w:spacing w:after="0" w:line="240" w:lineRule="auto"/>
        <w:jc w:val="center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b/>
          <w:bCs/>
          <w:color w:val="3F484F"/>
          <w:sz w:val="24"/>
          <w:szCs w:val="17"/>
          <w:u w:val="single"/>
          <w:lang w:eastAsia="ru-RU"/>
        </w:rPr>
        <w:t xml:space="preserve"> «Техника подъёма с применением верёвки для страховки или передвижения»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b/>
          <w:bCs/>
          <w:color w:val="3F484F"/>
          <w:sz w:val="24"/>
          <w:szCs w:val="17"/>
          <w:lang w:eastAsia="ru-RU"/>
        </w:rPr>
        <w:t>Организация групповой страховки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b/>
          <w:bCs/>
          <w:color w:val="3F484F"/>
          <w:sz w:val="24"/>
          <w:szCs w:val="17"/>
          <w:lang w:eastAsia="ru-RU"/>
        </w:rPr>
        <w:t> </w:t>
      </w:r>
      <w:r w:rsidRPr="00521648">
        <w:rPr>
          <w:rFonts w:ascii="Verdana" w:hAnsi="Verdana"/>
          <w:color w:val="3F484F"/>
          <w:sz w:val="24"/>
          <w:szCs w:val="17"/>
          <w:lang w:eastAsia="ru-RU"/>
        </w:rPr>
        <w:t>Передвижение с применением верёвочных перил для страховки работников. Закрепление спусковых и страховочных верёвок в верхней рабочей зоне.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b/>
          <w:bCs/>
          <w:color w:val="3F484F"/>
          <w:sz w:val="24"/>
          <w:szCs w:val="17"/>
          <w:lang w:eastAsia="ru-RU"/>
        </w:rPr>
        <w:t>Подъём по закреплённой верёвке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b/>
          <w:bCs/>
          <w:color w:val="3F484F"/>
          <w:sz w:val="24"/>
          <w:szCs w:val="17"/>
          <w:lang w:eastAsia="ru-RU"/>
        </w:rPr>
        <w:t>Подъём лазанием по конструкциям с применением динамической страховки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b/>
          <w:bCs/>
          <w:color w:val="3F484F"/>
          <w:sz w:val="24"/>
          <w:szCs w:val="17"/>
          <w:lang w:eastAsia="ru-RU"/>
        </w:rPr>
        <w:t>Подъём по деревянным конструкциям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b/>
          <w:bCs/>
          <w:color w:val="3F484F"/>
          <w:sz w:val="24"/>
          <w:szCs w:val="17"/>
          <w:lang w:eastAsia="ru-RU"/>
        </w:rPr>
        <w:t>Подъём</w:t>
      </w:r>
      <w:bookmarkStart w:id="0" w:name="_GoBack"/>
      <w:bookmarkEnd w:id="0"/>
      <w:r w:rsidRPr="00521648">
        <w:rPr>
          <w:rFonts w:ascii="Verdana" w:hAnsi="Verdana"/>
          <w:b/>
          <w:bCs/>
          <w:color w:val="3F484F"/>
          <w:sz w:val="24"/>
          <w:szCs w:val="17"/>
          <w:lang w:eastAsia="ru-RU"/>
        </w:rPr>
        <w:t xml:space="preserve"> персонала и грузов с помощью полиспастов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color w:val="3F484F"/>
          <w:sz w:val="24"/>
          <w:szCs w:val="17"/>
          <w:lang w:eastAsia="ru-RU"/>
        </w:rPr>
        <w:t>Налаживание стандартных полиспастных систем. Полиспаст Мунтера. Полиспаст-качалка.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b/>
          <w:bCs/>
          <w:color w:val="3F484F"/>
          <w:sz w:val="24"/>
          <w:szCs w:val="17"/>
          <w:lang w:eastAsia="ru-RU"/>
        </w:rPr>
        <w:t>Подъём персонала и грузов на тросе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color w:val="3F484F"/>
          <w:sz w:val="24"/>
          <w:szCs w:val="17"/>
          <w:lang w:eastAsia="ru-RU"/>
        </w:rPr>
        <w:t>Налаживание стандартных полиспастных систем. Полиспаст Мунтера. Полиспаст-качалка. Тросовые зажимы, подъём на тросах.</w:t>
      </w:r>
    </w:p>
    <w:p w:rsidR="004B7CD2" w:rsidRDefault="004B7CD2" w:rsidP="00521648">
      <w:pPr>
        <w:spacing w:after="0" w:line="240" w:lineRule="auto"/>
        <w:jc w:val="center"/>
        <w:rPr>
          <w:rFonts w:ascii="Verdana" w:hAnsi="Verdana"/>
          <w:b/>
          <w:bCs/>
          <w:color w:val="3F484F"/>
          <w:sz w:val="24"/>
          <w:szCs w:val="17"/>
          <w:u w:val="single"/>
          <w:lang w:eastAsia="ru-RU"/>
        </w:rPr>
      </w:pPr>
    </w:p>
    <w:p w:rsidR="004B7CD2" w:rsidRPr="00521648" w:rsidRDefault="004B7CD2" w:rsidP="00521648">
      <w:pPr>
        <w:spacing w:after="0" w:line="240" w:lineRule="auto"/>
        <w:jc w:val="center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b/>
          <w:bCs/>
          <w:color w:val="3F484F"/>
          <w:sz w:val="24"/>
          <w:szCs w:val="17"/>
          <w:u w:val="single"/>
          <w:lang w:eastAsia="ru-RU"/>
        </w:rPr>
        <w:t>«Техника спуска»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b/>
          <w:bCs/>
          <w:color w:val="3F484F"/>
          <w:sz w:val="24"/>
          <w:szCs w:val="17"/>
          <w:lang w:eastAsia="ru-RU"/>
        </w:rPr>
        <w:t>Выход за перегиб крыши, здания, сооружения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b/>
          <w:bCs/>
          <w:color w:val="3F484F"/>
          <w:sz w:val="24"/>
          <w:szCs w:val="17"/>
          <w:lang w:eastAsia="ru-RU"/>
        </w:rPr>
        <w:t>Автономный спуск по верёвке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color w:val="3F484F"/>
          <w:sz w:val="24"/>
          <w:szCs w:val="17"/>
          <w:lang w:eastAsia="ru-RU"/>
        </w:rPr>
        <w:t>Применение тормозных устройств и специальных узлов. Работа на карнизах. Попадание в помещения здания и на балконы для оказания помощи.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b/>
          <w:bCs/>
          <w:color w:val="3F484F"/>
          <w:sz w:val="24"/>
          <w:szCs w:val="17"/>
          <w:lang w:eastAsia="ru-RU"/>
        </w:rPr>
        <w:t>Пассивный спуск с применением верёвки и тормозных устройств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b/>
          <w:bCs/>
          <w:color w:val="3F484F"/>
          <w:sz w:val="24"/>
          <w:szCs w:val="17"/>
          <w:lang w:eastAsia="ru-RU"/>
        </w:rPr>
        <w:t>Организация спуска с помощью стального троса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color w:val="3F484F"/>
          <w:sz w:val="24"/>
          <w:szCs w:val="17"/>
          <w:lang w:eastAsia="ru-RU"/>
        </w:rPr>
        <w:t>Применение фрикционной гребенки для спуска. Применение тросового комплекта, блок-тормоза, лебёдки, зажимов и т.п.</w:t>
      </w:r>
    </w:p>
    <w:p w:rsidR="004B7CD2" w:rsidRDefault="004B7CD2" w:rsidP="00521648">
      <w:pPr>
        <w:spacing w:after="0" w:line="240" w:lineRule="auto"/>
        <w:jc w:val="center"/>
        <w:rPr>
          <w:rFonts w:ascii="Verdana" w:hAnsi="Verdana"/>
          <w:b/>
          <w:bCs/>
          <w:color w:val="3F484F"/>
          <w:sz w:val="24"/>
          <w:szCs w:val="17"/>
          <w:u w:val="single"/>
          <w:lang w:eastAsia="ru-RU"/>
        </w:rPr>
      </w:pPr>
    </w:p>
    <w:p w:rsidR="004B7CD2" w:rsidRPr="00521648" w:rsidRDefault="004B7CD2" w:rsidP="00521648">
      <w:pPr>
        <w:spacing w:after="0" w:line="240" w:lineRule="auto"/>
        <w:jc w:val="center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b/>
          <w:bCs/>
          <w:color w:val="3F484F"/>
          <w:sz w:val="24"/>
          <w:szCs w:val="17"/>
          <w:u w:val="single"/>
          <w:lang w:eastAsia="ru-RU"/>
        </w:rPr>
        <w:t>«Техника пространственных перемещений»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bCs/>
          <w:color w:val="3F484F"/>
          <w:sz w:val="24"/>
          <w:szCs w:val="17"/>
          <w:lang w:eastAsia="ru-RU"/>
        </w:rPr>
        <w:t>Работа под площадками высотных металлоконструкций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bCs/>
          <w:color w:val="3F484F"/>
          <w:sz w:val="24"/>
          <w:szCs w:val="17"/>
          <w:lang w:eastAsia="ru-RU"/>
        </w:rPr>
        <w:t>Передвижение по горизонтальным и наклонным балкам разного диаметра и формы сечения</w:t>
      </w:r>
    </w:p>
    <w:p w:rsidR="004B7CD2" w:rsidRPr="00521648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bCs/>
          <w:color w:val="3F484F"/>
          <w:sz w:val="24"/>
          <w:szCs w:val="17"/>
          <w:lang w:eastAsia="ru-RU"/>
        </w:rPr>
        <w:t>Подъём по вертикальным балкам разного диаметра с помощью стремян</w:t>
      </w:r>
    </w:p>
    <w:p w:rsidR="004B7CD2" w:rsidRPr="00521648" w:rsidRDefault="004B7CD2" w:rsidP="00521648">
      <w:pPr>
        <w:spacing w:after="0" w:line="240" w:lineRule="auto"/>
        <w:jc w:val="center"/>
        <w:rPr>
          <w:rFonts w:ascii="Verdana" w:hAnsi="Verdana"/>
          <w:b/>
          <w:bCs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b/>
          <w:bCs/>
          <w:color w:val="3F484F"/>
          <w:sz w:val="24"/>
          <w:szCs w:val="17"/>
          <w:lang w:eastAsia="ru-RU"/>
        </w:rPr>
        <w:t> </w:t>
      </w:r>
    </w:p>
    <w:p w:rsidR="004B7CD2" w:rsidRPr="00521648" w:rsidRDefault="004B7CD2" w:rsidP="00521648">
      <w:pPr>
        <w:spacing w:after="0" w:line="240" w:lineRule="auto"/>
        <w:jc w:val="center"/>
        <w:rPr>
          <w:rFonts w:ascii="Verdana" w:hAnsi="Verdana"/>
          <w:color w:val="3F484F"/>
          <w:sz w:val="24"/>
          <w:szCs w:val="17"/>
          <w:lang w:eastAsia="ru-RU"/>
        </w:rPr>
      </w:pPr>
      <w:r w:rsidRPr="00521648">
        <w:rPr>
          <w:rFonts w:ascii="Verdana" w:hAnsi="Verdana"/>
          <w:b/>
          <w:bCs/>
          <w:color w:val="3F484F"/>
          <w:sz w:val="24"/>
          <w:szCs w:val="17"/>
          <w:u w:val="single"/>
          <w:lang w:eastAsia="ru-RU"/>
        </w:rPr>
        <w:t xml:space="preserve"> «Техника применения противовеса»</w:t>
      </w:r>
    </w:p>
    <w:p w:rsidR="004B7CD2" w:rsidRPr="00B554F1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B554F1">
        <w:rPr>
          <w:rFonts w:ascii="Verdana" w:hAnsi="Verdana"/>
          <w:bCs/>
          <w:color w:val="3F484F"/>
          <w:sz w:val="24"/>
          <w:szCs w:val="17"/>
          <w:lang w:eastAsia="ru-RU"/>
        </w:rPr>
        <w:t>Настройка противовеса</w:t>
      </w:r>
    </w:p>
    <w:p w:rsidR="004B7CD2" w:rsidRPr="00B554F1" w:rsidRDefault="004B7CD2" w:rsidP="00521648">
      <w:pPr>
        <w:spacing w:after="0" w:line="240" w:lineRule="auto"/>
        <w:rPr>
          <w:rFonts w:ascii="Verdana" w:hAnsi="Verdana"/>
          <w:color w:val="3F484F"/>
          <w:sz w:val="24"/>
          <w:szCs w:val="17"/>
          <w:lang w:eastAsia="ru-RU"/>
        </w:rPr>
      </w:pPr>
      <w:r w:rsidRPr="00B554F1">
        <w:rPr>
          <w:rFonts w:ascii="Verdana" w:hAnsi="Verdana"/>
          <w:bCs/>
          <w:color w:val="3F484F"/>
          <w:sz w:val="24"/>
          <w:szCs w:val="17"/>
          <w:lang w:eastAsia="ru-RU"/>
        </w:rPr>
        <w:t>Перемещение по конструкции с помощью системы противовеса</w:t>
      </w:r>
    </w:p>
    <w:sectPr w:rsidR="004B7CD2" w:rsidRPr="00B554F1" w:rsidSect="00AB4E43">
      <w:headerReference w:type="even" r:id="rId6"/>
      <w:headerReference w:type="default" r:id="rId7"/>
      <w:pgSz w:w="11906" w:h="16838" w:code="9"/>
      <w:pgMar w:top="225" w:right="567" w:bottom="567" w:left="567" w:header="16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CD2" w:rsidRDefault="004B7CD2">
      <w:r>
        <w:separator/>
      </w:r>
    </w:p>
  </w:endnote>
  <w:endnote w:type="continuationSeparator" w:id="1">
    <w:p w:rsidR="004B7CD2" w:rsidRDefault="004B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CD2" w:rsidRDefault="004B7CD2">
      <w:r>
        <w:separator/>
      </w:r>
    </w:p>
  </w:footnote>
  <w:footnote w:type="continuationSeparator" w:id="1">
    <w:p w:rsidR="004B7CD2" w:rsidRDefault="004B7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CD2" w:rsidRDefault="004B7CD2" w:rsidP="007C0A4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7CD2" w:rsidRDefault="004B7CD2" w:rsidP="00AB4E4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2" w:type="pct"/>
      <w:tblCellSpacing w:w="15" w:type="dxa"/>
      <w:tblInd w:w="30" w:type="dxa"/>
      <w:tblLayout w:type="fixed"/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3880"/>
      <w:gridCol w:w="367"/>
      <w:gridCol w:w="2548"/>
      <w:gridCol w:w="367"/>
      <w:gridCol w:w="3661"/>
    </w:tblGrid>
    <w:tr w:rsidR="004B7CD2" w:rsidRPr="00AB4E43" w:rsidTr="00AB4E43">
      <w:trPr>
        <w:trHeight w:val="500"/>
        <w:tblCellSpacing w:w="15" w:type="dxa"/>
      </w:trPr>
      <w:tc>
        <w:tcPr>
          <w:tcW w:w="3835" w:type="dxa"/>
          <w:vAlign w:val="center"/>
        </w:tcPr>
        <w:p w:rsidR="004B7CD2" w:rsidRPr="00AB4E43" w:rsidRDefault="004B7CD2" w:rsidP="00AB4E43">
          <w:pPr>
            <w:spacing w:after="0" w:line="240" w:lineRule="auto"/>
            <w:jc w:val="center"/>
            <w:rPr>
              <w:rFonts w:cs="Arial"/>
            </w:rPr>
          </w:pPr>
          <w:r w:rsidRPr="00AB4E43">
            <w:rPr>
              <w:rFonts w:cs="Arial"/>
            </w:rPr>
            <w:t>49000 Украина</w:t>
          </w:r>
        </w:p>
        <w:p w:rsidR="004B7CD2" w:rsidRPr="00AB4E43" w:rsidRDefault="004B7CD2" w:rsidP="00AB4E43">
          <w:pPr>
            <w:spacing w:after="0" w:line="240" w:lineRule="auto"/>
            <w:jc w:val="center"/>
            <w:rPr>
              <w:rFonts w:cs="Arial"/>
            </w:rPr>
          </w:pPr>
          <w:r w:rsidRPr="00AB4E43">
            <w:rPr>
              <w:rFonts w:cs="Arial"/>
            </w:rPr>
            <w:t>г. Днепропетровск,</w:t>
          </w:r>
        </w:p>
        <w:p w:rsidR="004B7CD2" w:rsidRPr="00AB4E43" w:rsidRDefault="004B7CD2" w:rsidP="00AB4E43">
          <w:pPr>
            <w:spacing w:after="0" w:line="240" w:lineRule="auto"/>
            <w:jc w:val="center"/>
            <w:rPr>
              <w:rFonts w:cs="Arial"/>
            </w:rPr>
          </w:pPr>
          <w:r w:rsidRPr="00AB4E43">
            <w:rPr>
              <w:rFonts w:cs="Arial"/>
            </w:rPr>
            <w:t>ул. Комсомольская, 76</w:t>
          </w:r>
        </w:p>
        <w:p w:rsidR="004B7CD2" w:rsidRPr="00AB4E43" w:rsidRDefault="004B7CD2" w:rsidP="00AB4E43">
          <w:pPr>
            <w:spacing w:after="0" w:line="240" w:lineRule="auto"/>
            <w:jc w:val="center"/>
            <w:rPr>
              <w:rFonts w:eastAsia="Arial Unicode MS" w:cs="Arial"/>
            </w:rPr>
          </w:pPr>
        </w:p>
      </w:tc>
      <w:tc>
        <w:tcPr>
          <w:tcW w:w="337" w:type="dxa"/>
          <w:shd w:val="clear" w:color="auto" w:fill="CCCCCC"/>
          <w:vAlign w:val="center"/>
        </w:tcPr>
        <w:p w:rsidR="004B7CD2" w:rsidRPr="00AB4E43" w:rsidRDefault="004B7CD2" w:rsidP="00AB4E43">
          <w:pPr>
            <w:spacing w:after="0" w:line="240" w:lineRule="auto"/>
            <w:rPr>
              <w:rFonts w:eastAsia="Arial Unicode MS" w:cs="Arial"/>
            </w:rPr>
          </w:pPr>
          <w:r w:rsidRPr="00AB4E43">
            <w:rPr>
              <w:rFonts w:cs="Arial"/>
            </w:rPr>
            <w:t>  </w:t>
          </w:r>
        </w:p>
      </w:tc>
      <w:tc>
        <w:tcPr>
          <w:tcW w:w="2518" w:type="dxa"/>
          <w:vAlign w:val="center"/>
        </w:tcPr>
        <w:p w:rsidR="004B7CD2" w:rsidRPr="00AB4E43" w:rsidRDefault="004B7CD2" w:rsidP="00AB4E43">
          <w:pPr>
            <w:spacing w:after="0" w:line="240" w:lineRule="auto"/>
            <w:jc w:val="center"/>
            <w:rPr>
              <w:rFonts w:eastAsia="Arial Unicode MS" w:cs="Arial"/>
            </w:rPr>
          </w:pPr>
          <w:r w:rsidRPr="00AB4E43">
            <w:rPr>
              <w:rFonts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" style="width:80.25pt;height:75pt">
                <v:imagedata r:id="rId1" r:href="rId2"/>
              </v:shape>
            </w:pict>
          </w:r>
        </w:p>
      </w:tc>
      <w:tc>
        <w:tcPr>
          <w:tcW w:w="337" w:type="dxa"/>
          <w:shd w:val="clear" w:color="auto" w:fill="CCCCCC"/>
          <w:vAlign w:val="center"/>
        </w:tcPr>
        <w:p w:rsidR="004B7CD2" w:rsidRPr="00AB4E43" w:rsidRDefault="004B7CD2" w:rsidP="00AB4E43">
          <w:pPr>
            <w:spacing w:after="0" w:line="240" w:lineRule="auto"/>
            <w:rPr>
              <w:rFonts w:eastAsia="Arial Unicode MS" w:cs="Arial"/>
            </w:rPr>
          </w:pPr>
          <w:r w:rsidRPr="00AB4E43">
            <w:rPr>
              <w:rFonts w:cs="Arial"/>
            </w:rPr>
            <w:t>  </w:t>
          </w:r>
        </w:p>
      </w:tc>
      <w:tc>
        <w:tcPr>
          <w:tcW w:w="3616" w:type="dxa"/>
          <w:vAlign w:val="center"/>
        </w:tcPr>
        <w:p w:rsidR="004B7CD2" w:rsidRPr="00AB4E43" w:rsidRDefault="004B7CD2" w:rsidP="00AB4E43">
          <w:pPr>
            <w:spacing w:after="0" w:line="240" w:lineRule="auto"/>
            <w:jc w:val="center"/>
            <w:rPr>
              <w:rFonts w:cs="Arial"/>
              <w:b/>
            </w:rPr>
          </w:pPr>
          <w:r w:rsidRPr="00AB4E43">
            <w:rPr>
              <w:rFonts w:cs="Arial"/>
              <w:b/>
            </w:rPr>
            <w:t>ЧП "Клуб Тропа"</w:t>
          </w:r>
        </w:p>
        <w:p w:rsidR="004B7CD2" w:rsidRPr="00AB4E43" w:rsidRDefault="004B7CD2" w:rsidP="00AB4E43">
          <w:pPr>
            <w:spacing w:after="0" w:line="240" w:lineRule="auto"/>
            <w:jc w:val="center"/>
            <w:rPr>
              <w:rFonts w:cs="Arial"/>
              <w:b/>
            </w:rPr>
          </w:pPr>
        </w:p>
        <w:p w:rsidR="004B7CD2" w:rsidRPr="00AB4E43" w:rsidRDefault="004B7CD2" w:rsidP="00AB4E43">
          <w:pPr>
            <w:spacing w:after="0" w:line="240" w:lineRule="auto"/>
            <w:rPr>
              <w:rFonts w:cs="Arial"/>
            </w:rPr>
          </w:pPr>
          <w:r w:rsidRPr="00AB4E43">
            <w:rPr>
              <w:rFonts w:cs="Arial"/>
            </w:rPr>
            <w:t xml:space="preserve">    тел.   +38(066)9999-600</w:t>
          </w:r>
        </w:p>
        <w:p w:rsidR="004B7CD2" w:rsidRPr="00AB4E43" w:rsidRDefault="004B7CD2" w:rsidP="00AB4E43">
          <w:pPr>
            <w:spacing w:after="0" w:line="240" w:lineRule="auto"/>
            <w:rPr>
              <w:rFonts w:cs="Arial"/>
            </w:rPr>
          </w:pPr>
          <w:r w:rsidRPr="00AB4E43">
            <w:rPr>
              <w:rFonts w:cs="Arial"/>
            </w:rPr>
            <w:t xml:space="preserve">    тел.   +38(566)788-49-10</w:t>
          </w:r>
        </w:p>
        <w:p w:rsidR="004B7CD2" w:rsidRPr="00AB4E43" w:rsidRDefault="004B7CD2" w:rsidP="00AB4E43">
          <w:pPr>
            <w:spacing w:after="0" w:line="240" w:lineRule="auto"/>
            <w:rPr>
              <w:rFonts w:cs="Arial"/>
              <w:lang w:val="fr-FR"/>
            </w:rPr>
          </w:pPr>
          <w:r w:rsidRPr="00AB4E43">
            <w:rPr>
              <w:rFonts w:cs="Arial"/>
            </w:rPr>
            <w:t xml:space="preserve">    </w:t>
          </w:r>
          <w:r w:rsidRPr="00AB4E43">
            <w:rPr>
              <w:rFonts w:cs="Arial"/>
              <w:lang w:val="fr-FR"/>
            </w:rPr>
            <w:t>mail:  clubtropa@gmail.com</w:t>
          </w:r>
        </w:p>
        <w:p w:rsidR="004B7CD2" w:rsidRPr="00AB4E43" w:rsidRDefault="004B7CD2" w:rsidP="00AB4E43">
          <w:pPr>
            <w:spacing w:after="0" w:line="240" w:lineRule="auto"/>
            <w:rPr>
              <w:rFonts w:eastAsia="Arial Unicode MS" w:cs="Arial"/>
              <w:lang w:val="fr-FR"/>
            </w:rPr>
          </w:pPr>
          <w:r w:rsidRPr="00AB4E43">
            <w:rPr>
              <w:rFonts w:cs="Arial"/>
              <w:lang w:val="fr-FR"/>
            </w:rPr>
            <w:t xml:space="preserve">    site:    </w:t>
          </w:r>
          <w:hyperlink r:id="rId3" w:history="1">
            <w:r w:rsidRPr="00AB4E43">
              <w:rPr>
                <w:rStyle w:val="Hyperlink"/>
                <w:rFonts w:cs="Arial"/>
                <w:lang w:val="fr-FR"/>
              </w:rPr>
              <w:t>www.tropa.dp.ua</w:t>
            </w:r>
          </w:hyperlink>
        </w:p>
      </w:tc>
    </w:tr>
  </w:tbl>
  <w:p w:rsidR="004B7CD2" w:rsidRPr="00AB4E43" w:rsidRDefault="004B7CD2" w:rsidP="00AB4E43">
    <w:pPr>
      <w:pStyle w:val="Header"/>
      <w:tabs>
        <w:tab w:val="clear" w:pos="4677"/>
        <w:tab w:val="clear" w:pos="9355"/>
        <w:tab w:val="left" w:pos="5985"/>
      </w:tabs>
      <w:spacing w:after="0"/>
      <w:ind w:right="35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648"/>
    <w:rsid w:val="003C137F"/>
    <w:rsid w:val="004B7CD2"/>
    <w:rsid w:val="005214AF"/>
    <w:rsid w:val="00521648"/>
    <w:rsid w:val="007C0A4D"/>
    <w:rsid w:val="00842663"/>
    <w:rsid w:val="009B182E"/>
    <w:rsid w:val="009E1CD2"/>
    <w:rsid w:val="00AB4E43"/>
    <w:rsid w:val="00B554F1"/>
    <w:rsid w:val="00B706A2"/>
    <w:rsid w:val="00F20F6A"/>
    <w:rsid w:val="00F8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4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4E4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735"/>
    <w:rPr>
      <w:lang w:eastAsia="en-US"/>
    </w:rPr>
  </w:style>
  <w:style w:type="character" w:styleId="PageNumber">
    <w:name w:val="page number"/>
    <w:basedOn w:val="DefaultParagraphFont"/>
    <w:uiPriority w:val="99"/>
    <w:rsid w:val="00AB4E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B4E4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735"/>
    <w:rPr>
      <w:lang w:eastAsia="en-US"/>
    </w:rPr>
  </w:style>
  <w:style w:type="character" w:styleId="Hyperlink">
    <w:name w:val="Hyperlink"/>
    <w:basedOn w:val="DefaultParagraphFont"/>
    <w:uiPriority w:val="99"/>
    <w:rsid w:val="00AB4E4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4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opa.dp.ua" TargetMode="External"/><Relationship Id="rId2" Type="http://schemas.openxmlformats.org/officeDocument/2006/relationships/image" Target="https://lh5.googleusercontent.com/-BKxa8123P90/AAAAAAAAAAI/AAAAAAAATZE/S0TSNhDMx7w/s250-c-k/phot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2</Pages>
  <Words>565</Words>
  <Characters>3226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ТРОПА</cp:lastModifiedBy>
  <cp:revision>5</cp:revision>
  <dcterms:created xsi:type="dcterms:W3CDTF">2014-09-18T09:08:00Z</dcterms:created>
  <dcterms:modified xsi:type="dcterms:W3CDTF">2015-04-16T11:11:00Z</dcterms:modified>
</cp:coreProperties>
</file>